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rFonts w:ascii="Calibri" w:hAnsi="Calibri" w:eastAsia="微软雅黑"/>
          <w:b/>
          <w:color w:val="1F262A"/>
          <w:sz w:val="36"/>
        </w:rPr>
        <w:t>Lesson Plan — Gaokao Practical Writing: Application Letter</w:t>
      </w:r>
    </w:p>
    <w:p>
      <w:pPr>
        <w:jc w:val="center"/>
      </w:pPr>
      <w:r>
        <w:rPr>
          <w:rFonts w:ascii="Calibri" w:hAnsi="Calibri" w:eastAsia="微软雅黑"/>
          <w:b w:val="0"/>
          <w:color w:val="5A5A5A"/>
          <w:sz w:val="23"/>
        </w:rPr>
        <w:t>Topic: "When Intangible Cultural Heritage Meets VR" — Li Hua replies to Jim</w:t>
      </w:r>
    </w:p>
    <w:p>
      <w:pPr>
        <w:jc w:val="center"/>
      </w:pPr>
      <w:r>
        <w:rPr>
          <w:rFonts w:ascii="Calibri" w:hAnsi="Calibri" w:eastAsia="微软雅黑"/>
          <w:b w:val="0"/>
          <w:color w:val="787878"/>
          <w:sz w:val="20"/>
        </w:rPr>
        <w:t>Companion PPT: 当非遗遇见VR_应用文讲评课00件.pptx (18 slides)  |  Lesson type: Test-paper review (first-round revision)  |  Duration: 45 min  |  Level: Senior 3</w:t>
      </w:r>
    </w:p>
    <w:p>
      <w:pPr>
        <w:spacing w:before="200" w:after="80"/>
      </w:pPr>
      <w:r>
        <w:rPr>
          <w:rFonts w:ascii="Calibri" w:hAnsi="Calibri" w:eastAsia="微软雅黑"/>
          <w:b/>
          <w:color w:val="1F262A"/>
          <w:sz w:val="32"/>
        </w:rPr>
        <w:t>1. Lesson Overview</w:t>
      </w:r>
    </w:p>
    <w:p>
      <w:pPr>
        <w:spacing w:after="60"/>
        <w:ind w:left="397"/>
      </w:pPr>
      <w:r>
        <w:rPr>
          <w:rFonts w:ascii="Calibri" w:hAnsi="Calibri" w:eastAsia="微软雅黑"/>
          <w:b w:val="0"/>
          <w:sz w:val="22"/>
        </w:rPr>
        <w:t>Source: Yali Middle School Senior 3 opening exam (Aug 2026), Practical Writing, 15 points, ~80 words.</w:t>
      </w:r>
    </w:p>
    <w:p>
      <w:pPr>
        <w:spacing w:after="60"/>
        <w:ind w:left="397"/>
      </w:pPr>
      <w:r>
        <w:rPr>
          <w:rFonts w:ascii="Calibri" w:hAnsi="Calibri" w:eastAsia="微软雅黑"/>
          <w:b w:val="0"/>
          <w:sz w:val="22"/>
        </w:rPr>
        <w:t>Situation: After visiting the provincial museum's "When ICH Meets VR" zone, Li Hua writes back to his foreign friend Jim, introducing the exhibit's highlights and sharing his reflections, implicitly conveying cultural pride outward.</w:t>
      </w:r>
    </w:p>
    <w:p>
      <w:pPr>
        <w:spacing w:after="60"/>
        <w:ind w:left="397"/>
      </w:pPr>
      <w:r>
        <w:rPr>
          <w:rFonts w:ascii="Calibri" w:hAnsi="Calibri" w:eastAsia="微软雅黑"/>
          <w:b w:val="0"/>
          <w:sz w:val="22"/>
        </w:rPr>
        <w:t>Text type: a reply letter with a GIVEN opening; three-paragraph structure; a high-frequency Gaokao cultural topic — technology empowering the inheritance of intangible cultural heritage (ICH).</w:t>
      </w:r>
    </w:p>
    <w:p>
      <w:pPr>
        <w:spacing w:before="200" w:after="80"/>
      </w:pPr>
      <w:r>
        <w:rPr>
          <w:rFonts w:ascii="Calibri" w:hAnsi="Calibri" w:eastAsia="微软雅黑"/>
          <w:b/>
          <w:color w:val="1F262A"/>
          <w:sz w:val="32"/>
        </w:rPr>
        <w:t>2. Analysis of Students</w:t>
      </w:r>
    </w:p>
    <w:p>
      <w:pPr>
        <w:spacing w:after="60"/>
        <w:ind w:left="397"/>
      </w:pPr>
      <w:r>
        <w:rPr>
          <w:rFonts w:ascii="Calibri" w:hAnsi="Calibri" w:eastAsia="微软雅黑"/>
          <w:b w:val="0"/>
          <w:sz w:val="22"/>
        </w:rPr>
        <w:t>Senior 3 students already command basic letter format and simple expressions, yet share recurrent weaknesses:</w:t>
      </w:r>
    </w:p>
    <w:p>
      <w:pPr>
        <w:pStyle w:val="16"/>
        <w:spacing w:after="40"/>
        <w:ind w:left="397"/>
      </w:pPr>
      <w:r>
        <w:rPr>
          <w:rFonts w:ascii="Calibri" w:hAnsi="Calibri" w:eastAsia="微软雅黑"/>
          <w:b w:val="0"/>
          <w:sz w:val="21"/>
        </w:rPr>
        <w:t>Overusing "I think / I believe" → monotone syntax with no layering.</w:t>
      </w:r>
    </w:p>
    <w:p>
      <w:pPr>
        <w:pStyle w:val="16"/>
        <w:spacing w:after="40"/>
        <w:ind w:left="397"/>
      </w:pPr>
      <w:r>
        <w:rPr>
          <w:rFonts w:ascii="Calibri" w:hAnsi="Calibri" w:eastAsia="微软雅黑"/>
          <w:b w:val="0"/>
          <w:sz w:val="21"/>
        </w:rPr>
        <w:t>Losing word-count control → often &gt;120 or &lt;60 words.</w:t>
      </w:r>
    </w:p>
    <w:p>
      <w:pPr>
        <w:pStyle w:val="16"/>
        <w:spacing w:after="40"/>
        <w:ind w:left="397"/>
      </w:pPr>
      <w:r>
        <w:rPr>
          <w:rFonts w:ascii="Calibri" w:hAnsi="Calibri" w:eastAsia="微软雅黑"/>
          <w:b w:val="0"/>
          <w:sz w:val="21"/>
        </w:rPr>
        <w:t>Lacking topic-specific lexis for culture / technology.</w:t>
      </w:r>
    </w:p>
    <w:p>
      <w:pPr>
        <w:pStyle w:val="16"/>
        <w:spacing w:after="40"/>
        <w:ind w:left="397"/>
      </w:pPr>
      <w:r>
        <w:rPr>
          <w:rFonts w:ascii="Calibri" w:hAnsi="Calibri" w:eastAsia="微软雅黑"/>
          <w:b w:val="0"/>
          <w:sz w:val="21"/>
        </w:rPr>
        <w:t>Accidentally REWRITING the given opening sentence.</w:t>
      </w:r>
    </w:p>
    <w:p>
      <w:pPr>
        <w:spacing w:after="60"/>
        <w:ind w:left="397"/>
      </w:pPr>
      <w:r>
        <w:rPr>
          <w:rFonts w:ascii="Calibri" w:hAnsi="Calibri" w:eastAsia="微软雅黑"/>
          <w:b w:val="0"/>
          <w:sz w:val="22"/>
        </w:rPr>
        <w:t>The lesson bridges these gaps through a scaffolded chain: lexis input → model comparison → sentence upgrading → variant transfer.</w:t>
      </w:r>
    </w:p>
    <w:p>
      <w:pPr>
        <w:spacing w:before="200" w:after="80"/>
      </w:pPr>
      <w:r>
        <w:rPr>
          <w:rFonts w:ascii="Calibri" w:hAnsi="Calibri" w:eastAsia="微软雅黑"/>
          <w:b/>
          <w:color w:val="1F262A"/>
          <w:sz w:val="32"/>
        </w:rPr>
        <w:t>3. Learning Objectives (English Core Competencies)</w:t>
      </w:r>
    </w:p>
    <w:p>
      <w:pPr>
        <w:pStyle w:val="16"/>
        <w:spacing w:after="40"/>
        <w:ind w:left="397"/>
      </w:pPr>
      <w:r>
        <w:rPr>
          <w:rFonts w:ascii="Calibri" w:hAnsi="Calibri" w:eastAsia="微软雅黑"/>
          <w:b w:val="0"/>
          <w:sz w:val="21"/>
        </w:rPr>
        <w:t>Language ability: Master the core chunks of the "ICH + tech" letter (stand out for, integration, immersive, revitalize, bring … back to life, etc.) and three scoring sentence patterns (participial adverbial, Not only…but also inversion, What-subject clause); produce a well-structured, appropriately-toned reply within ~80 words.</w:t>
      </w:r>
    </w:p>
    <w:p>
      <w:pPr>
        <w:pStyle w:val="16"/>
        <w:spacing w:after="40"/>
        <w:ind w:left="397"/>
      </w:pPr>
      <w:r>
        <w:rPr>
          <w:rFonts w:ascii="Calibri" w:hAnsi="Calibri" w:eastAsia="微软雅黑"/>
          <w:b w:val="0"/>
          <w:sz w:val="21"/>
        </w:rPr>
        <w:t>Cultural awareness: Output Chinese culture naturally with a confident-but-not-preachy tone; use bilingual / visitor-friendly to show global vision.</w:t>
      </w:r>
    </w:p>
    <w:p>
      <w:pPr>
        <w:pStyle w:val="16"/>
        <w:spacing w:after="40"/>
        <w:ind w:left="397"/>
      </w:pPr>
      <w:r>
        <w:rPr>
          <w:rFonts w:ascii="Calibri" w:hAnsi="Calibri" w:eastAsia="微软雅黑"/>
          <w:b w:val="0"/>
          <w:sz w:val="21"/>
        </w:rPr>
        <w:t>Thinking quality: Build a three-layer writing logic (content–structure–language) via the chain: analyze → outline → lexis → sentence → model compare → variant.</w:t>
      </w:r>
    </w:p>
    <w:p>
      <w:pPr>
        <w:pStyle w:val="16"/>
        <w:spacing w:after="40"/>
        <w:ind w:left="397"/>
      </w:pPr>
      <w:r>
        <w:rPr>
          <w:rFonts w:ascii="Calibri" w:hAnsi="Calibri" w:eastAsia="微软雅黑"/>
          <w:b w:val="0"/>
          <w:sz w:val="21"/>
        </w:rPr>
        <w:t>Learning ability: Self/peer-assess with the pitfall list and rubric; form transferable practical-writing strategies.</w:t>
      </w:r>
    </w:p>
    <w:p>
      <w:pPr>
        <w:spacing w:before="200" w:after="80"/>
      </w:pPr>
      <w:r>
        <w:rPr>
          <w:rFonts w:ascii="Calibri" w:hAnsi="Calibri" w:eastAsia="微软雅黑"/>
          <w:b/>
          <w:color w:val="1F262A"/>
          <w:sz w:val="32"/>
        </w:rPr>
        <w:t>4. Key &amp; Difficult Points</w:t>
      </w:r>
    </w:p>
    <w:p>
      <w:pPr>
        <w:spacing w:after="60"/>
        <w:ind w:left="397"/>
      </w:pPr>
      <w:r>
        <w:rPr>
          <w:rFonts w:ascii="Calibri" w:hAnsi="Calibri" w:eastAsia="微软雅黑"/>
          <w:b w:val="0"/>
          <w:sz w:val="22"/>
        </w:rPr>
        <w:t>Key: three-paragraph scaffolding; accurate use of core chunks and inversion / subject clause.</w:t>
      </w:r>
    </w:p>
    <w:p>
      <w:pPr>
        <w:spacing w:after="60"/>
        <w:ind w:left="397"/>
      </w:pPr>
      <w:r>
        <w:rPr>
          <w:rFonts w:ascii="Calibri" w:hAnsi="Calibri" w:eastAsia="微软雅黑"/>
          <w:b w:val="0"/>
          <w:sz w:val="22"/>
        </w:rPr>
        <w:t>Difficult: covering all points AND upgrading language within the 80-word limit; culturally appropriate (confident, not preachy) tone.</w:t>
      </w:r>
    </w:p>
    <w:p>
      <w:pPr>
        <w:spacing w:before="200" w:after="80"/>
      </w:pPr>
      <w:r>
        <w:rPr>
          <w:rFonts w:ascii="Calibri" w:hAnsi="Calibri" w:eastAsia="微软雅黑"/>
          <w:b/>
          <w:color w:val="1F262A"/>
          <w:sz w:val="32"/>
        </w:rPr>
        <w:t>5. Teaching Methods &amp; Aids</w:t>
      </w:r>
    </w:p>
    <w:p>
      <w:pPr>
        <w:spacing w:after="60"/>
        <w:ind w:left="397"/>
      </w:pPr>
      <w:r>
        <w:rPr>
          <w:rFonts w:ascii="Calibri" w:hAnsi="Calibri" w:eastAsia="微软雅黑"/>
          <w:b w:val="0"/>
          <w:sz w:val="22"/>
        </w:rPr>
        <w:t>Methods: task-based, drill-practice integrated, peer assessment, micro-lecture PPT.</w:t>
      </w:r>
    </w:p>
    <w:p>
      <w:pPr>
        <w:spacing w:after="60"/>
        <w:ind w:left="397"/>
      </w:pPr>
      <w:r>
        <w:rPr>
          <w:rFonts w:ascii="Calibri" w:hAnsi="Calibri" w:eastAsia="微软雅黑"/>
          <w:b w:val="0"/>
          <w:sz w:val="22"/>
        </w:rPr>
        <w:t>Aids: this 18-slide PPT, the student worksheet, blackboard / interactive whiteboard.</w:t>
      </w:r>
    </w:p>
    <w:p>
      <w:pPr>
        <w:spacing w:before="200" w:after="80"/>
      </w:pPr>
      <w:r>
        <w:rPr>
          <w:rFonts w:ascii="Calibri" w:hAnsi="Calibri" w:eastAsia="微软雅黑"/>
          <w:b/>
          <w:color w:val="1F262A"/>
          <w:sz w:val="32"/>
        </w:rPr>
        <w:t>6. Teaching Procedure (45 min)</w:t>
      </w:r>
    </w:p>
    <w:tbl>
      <w:tblPr>
        <w:tblStyle w:val="36"/>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160"/>
        <w:gridCol w:w="216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sz w:val="20"/>
              </w:rPr>
              <w:t>Stage</w:t>
            </w:r>
          </w:p>
        </w:tc>
        <w:tc>
          <w:tcPr>
            <w:tcW w:w="2160" w:type="dxa"/>
          </w:tcPr>
          <w:p>
            <w:pPr>
              <w:spacing w:before="40" w:after="40" w:line="240" w:lineRule="auto"/>
            </w:pPr>
            <w:r>
              <w:rPr>
                <w:rFonts w:ascii="Calibri" w:hAnsi="Calibri" w:eastAsia="微软雅黑"/>
                <w:b/>
                <w:sz w:val="20"/>
              </w:rPr>
              <w:t>Slides</w:t>
            </w:r>
          </w:p>
        </w:tc>
        <w:tc>
          <w:tcPr>
            <w:tcW w:w="2160" w:type="dxa"/>
          </w:tcPr>
          <w:p>
            <w:pPr>
              <w:spacing w:before="40" w:after="40" w:line="240" w:lineRule="auto"/>
            </w:pPr>
            <w:r>
              <w:rPr>
                <w:rFonts w:ascii="Calibri" w:hAnsi="Calibri" w:eastAsia="微软雅黑"/>
                <w:b/>
                <w:sz w:val="20"/>
              </w:rPr>
              <w:t>Time</w:t>
            </w:r>
          </w:p>
        </w:tc>
        <w:tc>
          <w:tcPr>
            <w:tcW w:w="2160" w:type="dxa"/>
          </w:tcPr>
          <w:p>
            <w:pPr>
              <w:spacing w:before="40" w:after="40" w:line="240" w:lineRule="auto"/>
            </w:pPr>
            <w:r>
              <w:rPr>
                <w:rFonts w:ascii="Calibri" w:hAnsi="Calibri" w:eastAsia="微软雅黑"/>
                <w:b/>
                <w:sz w:val="20"/>
              </w:rPr>
              <w:t>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1 Lead-in &amp; Task</w:t>
            </w:r>
          </w:p>
        </w:tc>
        <w:tc>
          <w:tcPr>
            <w:tcW w:w="2160" w:type="dxa"/>
          </w:tcPr>
          <w:p>
            <w:pPr>
              <w:spacing w:before="40" w:after="40" w:line="240" w:lineRule="auto"/>
            </w:pPr>
            <w:r>
              <w:rPr>
                <w:rFonts w:ascii="Calibri" w:hAnsi="Calibri" w:eastAsia="微软雅黑"/>
                <w:b w:val="0"/>
                <w:sz w:val="20"/>
              </w:rPr>
              <w:t>P1–2</w:t>
            </w:r>
          </w:p>
        </w:tc>
        <w:tc>
          <w:tcPr>
            <w:tcW w:w="2160" w:type="dxa"/>
          </w:tcPr>
          <w:p>
            <w:pPr>
              <w:spacing w:before="40" w:after="40" w:line="240" w:lineRule="auto"/>
            </w:pPr>
            <w:r>
              <w:rPr>
                <w:rFonts w:ascii="Calibri" w:hAnsi="Calibri" w:eastAsia="微软雅黑"/>
                <w:b w:val="0"/>
                <w:sz w:val="20"/>
              </w:rPr>
              <w:t>3'</w:t>
            </w:r>
          </w:p>
        </w:tc>
        <w:tc>
          <w:tcPr>
            <w:tcW w:w="2160" w:type="dxa"/>
          </w:tcPr>
          <w:p>
            <w:pPr>
              <w:spacing w:before="40" w:after="40" w:line="240" w:lineRule="auto"/>
            </w:pPr>
            <w:r>
              <w:rPr>
                <w:rFonts w:ascii="Calibri" w:hAnsi="Calibri" w:eastAsia="微软雅黑"/>
                <w:b w:val="0"/>
                <w:sz w:val="20"/>
              </w:rPr>
              <w:t>Identify genre / word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2 Analyzing the Task</w:t>
            </w:r>
          </w:p>
        </w:tc>
        <w:tc>
          <w:tcPr>
            <w:tcW w:w="2160" w:type="dxa"/>
          </w:tcPr>
          <w:p>
            <w:pPr>
              <w:spacing w:before="40" w:after="40" w:line="240" w:lineRule="auto"/>
            </w:pPr>
            <w:r>
              <w:rPr>
                <w:rFonts w:ascii="Calibri" w:hAnsi="Calibri" w:eastAsia="微软雅黑"/>
                <w:b w:val="0"/>
                <w:sz w:val="20"/>
              </w:rPr>
              <w:t>P3</w:t>
            </w:r>
          </w:p>
        </w:tc>
        <w:tc>
          <w:tcPr>
            <w:tcW w:w="2160" w:type="dxa"/>
          </w:tcPr>
          <w:p>
            <w:pPr>
              <w:spacing w:before="40" w:after="40" w:line="240" w:lineRule="auto"/>
            </w:pPr>
            <w:r>
              <w:rPr>
                <w:rFonts w:ascii="Calibri" w:hAnsi="Calibri" w:eastAsia="微软雅黑"/>
                <w:b w:val="0"/>
                <w:sz w:val="20"/>
              </w:rPr>
              <w:t>4'</w:t>
            </w:r>
          </w:p>
        </w:tc>
        <w:tc>
          <w:tcPr>
            <w:tcW w:w="2160" w:type="dxa"/>
          </w:tcPr>
          <w:p>
            <w:pPr>
              <w:spacing w:before="40" w:after="40" w:line="240" w:lineRule="auto"/>
            </w:pPr>
            <w:r>
              <w:rPr>
                <w:rFonts w:ascii="Calibri" w:hAnsi="Calibri" w:eastAsia="微软雅黑"/>
                <w:b w:val="0"/>
                <w:sz w:val="20"/>
              </w:rPr>
              <w:t>3-dimension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3 Logic Chain</w:t>
            </w:r>
          </w:p>
        </w:tc>
        <w:tc>
          <w:tcPr>
            <w:tcW w:w="2160" w:type="dxa"/>
          </w:tcPr>
          <w:p>
            <w:pPr>
              <w:spacing w:before="40" w:after="40" w:line="240" w:lineRule="auto"/>
            </w:pPr>
            <w:r>
              <w:rPr>
                <w:rFonts w:ascii="Calibri" w:hAnsi="Calibri" w:eastAsia="微软雅黑"/>
                <w:b w:val="0"/>
                <w:sz w:val="20"/>
              </w:rPr>
              <w:t>P4</w:t>
            </w:r>
          </w:p>
        </w:tc>
        <w:tc>
          <w:tcPr>
            <w:tcW w:w="2160" w:type="dxa"/>
          </w:tcPr>
          <w:p>
            <w:pPr>
              <w:spacing w:before="40" w:after="40" w:line="240" w:lineRule="auto"/>
            </w:pPr>
            <w:r>
              <w:rPr>
                <w:rFonts w:ascii="Calibri" w:hAnsi="Calibri" w:eastAsia="微软雅黑"/>
                <w:b w:val="0"/>
                <w:sz w:val="20"/>
              </w:rPr>
              <w:t>5'</w:t>
            </w:r>
          </w:p>
        </w:tc>
        <w:tc>
          <w:tcPr>
            <w:tcW w:w="2160" w:type="dxa"/>
          </w:tcPr>
          <w:p>
            <w:pPr>
              <w:spacing w:before="40" w:after="40" w:line="240" w:lineRule="auto"/>
            </w:pPr>
            <w:r>
              <w:rPr>
                <w:rFonts w:ascii="Calibri" w:hAnsi="Calibri" w:eastAsia="微软雅黑"/>
                <w:b w:val="0"/>
                <w:sz w:val="20"/>
              </w:rPr>
              <w:t>3-paragraph outline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4 Lexicon Build-up</w:t>
            </w:r>
          </w:p>
        </w:tc>
        <w:tc>
          <w:tcPr>
            <w:tcW w:w="2160" w:type="dxa"/>
          </w:tcPr>
          <w:p>
            <w:pPr>
              <w:spacing w:before="40" w:after="40" w:line="240" w:lineRule="auto"/>
            </w:pPr>
            <w:r>
              <w:rPr>
                <w:rFonts w:ascii="Calibri" w:hAnsi="Calibri" w:eastAsia="微软雅黑"/>
                <w:b w:val="0"/>
                <w:sz w:val="20"/>
              </w:rPr>
              <w:t>P5–6</w:t>
            </w:r>
          </w:p>
        </w:tc>
        <w:tc>
          <w:tcPr>
            <w:tcW w:w="2160" w:type="dxa"/>
          </w:tcPr>
          <w:p>
            <w:pPr>
              <w:spacing w:before="40" w:after="40" w:line="240" w:lineRule="auto"/>
            </w:pPr>
            <w:r>
              <w:rPr>
                <w:rFonts w:ascii="Calibri" w:hAnsi="Calibri" w:eastAsia="微软雅黑"/>
                <w:b w:val="0"/>
                <w:sz w:val="20"/>
              </w:rPr>
              <w:t>7'</w:t>
            </w:r>
          </w:p>
        </w:tc>
        <w:tc>
          <w:tcPr>
            <w:tcW w:w="2160" w:type="dxa"/>
          </w:tcPr>
          <w:p>
            <w:pPr>
              <w:spacing w:before="40" w:after="40" w:line="240" w:lineRule="auto"/>
            </w:pPr>
            <w:r>
              <w:rPr>
                <w:rFonts w:ascii="Calibri" w:hAnsi="Calibri" w:eastAsia="微软雅黑"/>
                <w:b w:val="0"/>
                <w:sz w:val="20"/>
              </w:rPr>
              <w:t>Topic chunks by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5 Sentence Scaffolds</w:t>
            </w:r>
          </w:p>
        </w:tc>
        <w:tc>
          <w:tcPr>
            <w:tcW w:w="2160" w:type="dxa"/>
          </w:tcPr>
          <w:p>
            <w:pPr>
              <w:spacing w:before="40" w:after="40" w:line="240" w:lineRule="auto"/>
            </w:pPr>
            <w:r>
              <w:rPr>
                <w:rFonts w:ascii="Calibri" w:hAnsi="Calibri" w:eastAsia="微软雅黑"/>
                <w:b w:val="0"/>
                <w:sz w:val="20"/>
              </w:rPr>
              <w:t>P7</w:t>
            </w:r>
          </w:p>
        </w:tc>
        <w:tc>
          <w:tcPr>
            <w:tcW w:w="2160" w:type="dxa"/>
          </w:tcPr>
          <w:p>
            <w:pPr>
              <w:spacing w:before="40" w:after="40" w:line="240" w:lineRule="auto"/>
            </w:pPr>
            <w:r>
              <w:rPr>
                <w:rFonts w:ascii="Calibri" w:hAnsi="Calibri" w:eastAsia="微软雅黑"/>
                <w:b w:val="0"/>
                <w:sz w:val="20"/>
              </w:rPr>
              <w:t>6'</w:t>
            </w:r>
          </w:p>
        </w:tc>
        <w:tc>
          <w:tcPr>
            <w:tcW w:w="2160" w:type="dxa"/>
          </w:tcPr>
          <w:p>
            <w:pPr>
              <w:spacing w:before="40" w:after="40" w:line="240" w:lineRule="auto"/>
            </w:pPr>
            <w:r>
              <w:rPr>
                <w:rFonts w:ascii="Calibri" w:hAnsi="Calibri" w:eastAsia="微软雅黑"/>
                <w:b w:val="0"/>
                <w:sz w:val="20"/>
              </w:rPr>
              <w:t>5 advanced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6 Model Close Reading</w:t>
            </w:r>
          </w:p>
        </w:tc>
        <w:tc>
          <w:tcPr>
            <w:tcW w:w="2160" w:type="dxa"/>
          </w:tcPr>
          <w:p>
            <w:pPr>
              <w:spacing w:before="40" w:after="40" w:line="240" w:lineRule="auto"/>
            </w:pPr>
            <w:r>
              <w:rPr>
                <w:rFonts w:ascii="Calibri" w:hAnsi="Calibri" w:eastAsia="微软雅黑"/>
                <w:b w:val="0"/>
                <w:sz w:val="20"/>
              </w:rPr>
              <w:t>P8–9</w:t>
            </w:r>
          </w:p>
        </w:tc>
        <w:tc>
          <w:tcPr>
            <w:tcW w:w="2160" w:type="dxa"/>
          </w:tcPr>
          <w:p>
            <w:pPr>
              <w:spacing w:before="40" w:after="40" w:line="240" w:lineRule="auto"/>
            </w:pPr>
            <w:r>
              <w:rPr>
                <w:rFonts w:ascii="Calibri" w:hAnsi="Calibri" w:eastAsia="微软雅黑"/>
                <w:b w:val="0"/>
                <w:sz w:val="20"/>
              </w:rPr>
              <w:t>7'</w:t>
            </w:r>
          </w:p>
        </w:tc>
        <w:tc>
          <w:tcPr>
            <w:tcW w:w="2160" w:type="dxa"/>
          </w:tcPr>
          <w:p>
            <w:pPr>
              <w:spacing w:before="40" w:after="40" w:line="240" w:lineRule="auto"/>
            </w:pPr>
            <w:r>
              <w:rPr>
                <w:rFonts w:ascii="Calibri" w:hAnsi="Calibri" w:eastAsia="微软雅黑"/>
                <w:b w:val="0"/>
                <w:sz w:val="20"/>
              </w:rPr>
              <w:t>Annotate structures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7 Variant Comparison</w:t>
            </w:r>
          </w:p>
        </w:tc>
        <w:tc>
          <w:tcPr>
            <w:tcW w:w="2160" w:type="dxa"/>
          </w:tcPr>
          <w:p>
            <w:pPr>
              <w:spacing w:before="40" w:after="40" w:line="240" w:lineRule="auto"/>
            </w:pPr>
            <w:r>
              <w:rPr>
                <w:rFonts w:ascii="Calibri" w:hAnsi="Calibri" w:eastAsia="微软雅黑"/>
                <w:b w:val="0"/>
                <w:sz w:val="20"/>
              </w:rPr>
              <w:t>P10–11</w:t>
            </w:r>
          </w:p>
        </w:tc>
        <w:tc>
          <w:tcPr>
            <w:tcW w:w="2160" w:type="dxa"/>
          </w:tcPr>
          <w:p>
            <w:pPr>
              <w:spacing w:before="40" w:after="40" w:line="240" w:lineRule="auto"/>
            </w:pPr>
            <w:r>
              <w:rPr>
                <w:rFonts w:ascii="Calibri" w:hAnsi="Calibri" w:eastAsia="微软雅黑"/>
                <w:b w:val="0"/>
                <w:sz w:val="20"/>
              </w:rPr>
              <w:t>4'</w:t>
            </w:r>
          </w:p>
        </w:tc>
        <w:tc>
          <w:tcPr>
            <w:tcW w:w="2160" w:type="dxa"/>
          </w:tcPr>
          <w:p>
            <w:pPr>
              <w:spacing w:before="40" w:after="40" w:line="240" w:lineRule="auto"/>
            </w:pPr>
            <w:r>
              <w:rPr>
                <w:rFonts w:ascii="Calibri" w:hAnsi="Calibri" w:eastAsia="微软雅黑"/>
                <w:b w:val="0"/>
                <w:sz w:val="20"/>
              </w:rPr>
              <w:t>Band 3 → Band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8 Pitfall &amp; Takeaways</w:t>
            </w:r>
          </w:p>
        </w:tc>
        <w:tc>
          <w:tcPr>
            <w:tcW w:w="2160" w:type="dxa"/>
          </w:tcPr>
          <w:p>
            <w:pPr>
              <w:spacing w:before="40" w:after="40" w:line="240" w:lineRule="auto"/>
            </w:pPr>
            <w:r>
              <w:rPr>
                <w:rFonts w:ascii="Calibri" w:hAnsi="Calibri" w:eastAsia="微软雅黑"/>
                <w:b w:val="0"/>
                <w:sz w:val="20"/>
              </w:rPr>
              <w:t>P12–13</w:t>
            </w:r>
          </w:p>
        </w:tc>
        <w:tc>
          <w:tcPr>
            <w:tcW w:w="2160" w:type="dxa"/>
          </w:tcPr>
          <w:p>
            <w:pPr>
              <w:spacing w:before="40" w:after="40" w:line="240" w:lineRule="auto"/>
            </w:pPr>
            <w:r>
              <w:rPr>
                <w:rFonts w:ascii="Calibri" w:hAnsi="Calibri" w:eastAsia="微软雅黑"/>
                <w:b w:val="0"/>
                <w:sz w:val="20"/>
              </w:rPr>
              <w:t>5'</w:t>
            </w:r>
          </w:p>
        </w:tc>
        <w:tc>
          <w:tcPr>
            <w:tcW w:w="2160" w:type="dxa"/>
          </w:tcPr>
          <w:p>
            <w:pPr>
              <w:spacing w:before="40" w:after="40" w:line="240" w:lineRule="auto"/>
            </w:pPr>
            <w:r>
              <w:rPr>
                <w:rFonts w:ascii="Calibri" w:hAnsi="Calibri" w:eastAsia="微软雅黑"/>
                <w:b w:val="0"/>
                <w:sz w:val="20"/>
              </w:rPr>
              <w:t>Error-proofing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9 Themed Lexis &amp; Culture</w:t>
            </w:r>
          </w:p>
        </w:tc>
        <w:tc>
          <w:tcPr>
            <w:tcW w:w="2160" w:type="dxa"/>
          </w:tcPr>
          <w:p>
            <w:pPr>
              <w:spacing w:before="40" w:after="40" w:line="240" w:lineRule="auto"/>
            </w:pPr>
            <w:r>
              <w:rPr>
                <w:rFonts w:ascii="Calibri" w:hAnsi="Calibri" w:eastAsia="微软雅黑"/>
                <w:b w:val="0"/>
                <w:sz w:val="20"/>
              </w:rPr>
              <w:t>P14–16</w:t>
            </w:r>
          </w:p>
        </w:tc>
        <w:tc>
          <w:tcPr>
            <w:tcW w:w="2160" w:type="dxa"/>
          </w:tcPr>
          <w:p>
            <w:pPr>
              <w:spacing w:before="40" w:after="40" w:line="240" w:lineRule="auto"/>
            </w:pPr>
            <w:r>
              <w:rPr>
                <w:rFonts w:ascii="Calibri" w:hAnsi="Calibri" w:eastAsia="微软雅黑"/>
                <w:b w:val="0"/>
                <w:sz w:val="20"/>
              </w:rPr>
              <w:t>4'</w:t>
            </w:r>
          </w:p>
        </w:tc>
        <w:tc>
          <w:tcPr>
            <w:tcW w:w="2160" w:type="dxa"/>
          </w:tcPr>
          <w:p>
            <w:pPr>
              <w:spacing w:before="40" w:after="40" w:line="240" w:lineRule="auto"/>
            </w:pPr>
            <w:r>
              <w:rPr>
                <w:rFonts w:ascii="Calibri" w:hAnsi="Calibri" w:eastAsia="微软雅黑"/>
                <w:b w:val="0"/>
                <w:sz w:val="20"/>
              </w:rPr>
              <w:t>Transfer to other topics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spacing w:before="40" w:after="40" w:line="240" w:lineRule="auto"/>
            </w:pPr>
            <w:r>
              <w:rPr>
                <w:rFonts w:ascii="Calibri" w:hAnsi="Calibri" w:eastAsia="微软雅黑"/>
                <w:b w:val="0"/>
                <w:sz w:val="20"/>
              </w:rPr>
              <w:t>Post-class Mini Practice</w:t>
            </w:r>
          </w:p>
        </w:tc>
        <w:tc>
          <w:tcPr>
            <w:tcW w:w="2160" w:type="dxa"/>
          </w:tcPr>
          <w:p>
            <w:pPr>
              <w:spacing w:before="40" w:after="40" w:line="240" w:lineRule="auto"/>
            </w:pPr>
            <w:r>
              <w:rPr>
                <w:rFonts w:ascii="Calibri" w:hAnsi="Calibri" w:eastAsia="微软雅黑"/>
                <w:b w:val="0"/>
                <w:sz w:val="20"/>
              </w:rPr>
              <w:t>P17–18</w:t>
            </w:r>
          </w:p>
        </w:tc>
        <w:tc>
          <w:tcPr>
            <w:tcW w:w="2160" w:type="dxa"/>
          </w:tcPr>
          <w:p>
            <w:pPr>
              <w:spacing w:before="40" w:after="40" w:line="240" w:lineRule="auto"/>
            </w:pPr>
            <w:r>
              <w:rPr>
                <w:rFonts w:ascii="Calibri" w:hAnsi="Calibri" w:eastAsia="微软雅黑"/>
                <w:b w:val="0"/>
                <w:sz w:val="20"/>
              </w:rPr>
              <w:t>—</w:t>
            </w:r>
          </w:p>
        </w:tc>
        <w:tc>
          <w:tcPr>
            <w:tcW w:w="2160" w:type="dxa"/>
          </w:tcPr>
          <w:p>
            <w:pPr>
              <w:spacing w:before="40" w:after="40" w:line="240" w:lineRule="auto"/>
            </w:pPr>
            <w:r>
              <w:rPr>
                <w:rFonts w:ascii="Calibri" w:hAnsi="Calibri" w:eastAsia="微软雅黑"/>
                <w:b w:val="0"/>
                <w:sz w:val="20"/>
              </w:rPr>
              <w:t>Speech variant (homework)</w:t>
            </w:r>
          </w:p>
        </w:tc>
      </w:tr>
    </w:tbl>
    <w:p>
      <w:pPr>
        <w:spacing w:before="120" w:after="80"/>
      </w:pPr>
      <w:r>
        <w:rPr>
          <w:rFonts w:ascii="Calibri" w:hAnsi="Calibri" w:eastAsia="微软雅黑"/>
          <w:b/>
          <w:color w:val="28343C"/>
          <w:sz w:val="25"/>
        </w:rPr>
        <w:t>Stage 1 — Lead-in &amp; Task Presentation (3 min)  [Slides 1–2]</w:t>
      </w:r>
    </w:p>
    <w:p>
      <w:pPr>
        <w:spacing w:after="60"/>
      </w:pPr>
      <w:r>
        <w:rPr>
          <w:rFonts w:ascii="Calibri" w:hAnsi="Calibri" w:eastAsia="微软雅黑"/>
          <w:b/>
          <w:sz w:val="21"/>
        </w:rPr>
        <w:t>Aim: activate schemata and clarify the task boundary before any writing.</w:t>
      </w:r>
    </w:p>
    <w:p>
      <w:pPr>
        <w:pStyle w:val="16"/>
        <w:spacing w:after="40"/>
        <w:ind w:left="397"/>
      </w:pPr>
      <w:r>
        <w:rPr>
          <w:rFonts w:ascii="Calibri" w:hAnsi="Calibri" w:eastAsia="微软雅黑"/>
          <w:b w:val="0"/>
          <w:sz w:val="21"/>
        </w:rPr>
        <w:t>Teacher: Display the cover and the exam prompt; read the task aloud; circle three facts on the board — recipient (Jim, a foreign friend), genre (reply letter), word limit (~80). Name the cultural theme "When ICH Meets VR".</w:t>
      </w:r>
    </w:p>
    <w:p>
      <w:pPr>
        <w:pStyle w:val="16"/>
        <w:spacing w:after="40"/>
        <w:ind w:left="397"/>
      </w:pPr>
      <w:r>
        <w:rPr>
          <w:rFonts w:ascii="Calibri" w:hAnsi="Calibri" w:eastAsia="微软雅黑"/>
          <w:b w:val="0"/>
          <w:sz w:val="21"/>
        </w:rPr>
        <w:t>Students: Whole-class read the prompt; shout out the genre and limit; confirm the opening is ALREADY given.</w:t>
      </w:r>
    </w:p>
    <w:p>
      <w:pPr>
        <w:pStyle w:val="16"/>
        <w:spacing w:after="40"/>
        <w:ind w:left="397"/>
      </w:pPr>
      <w:r>
        <w:rPr>
          <w:rFonts w:ascii="Calibri" w:hAnsi="Calibri" w:eastAsia="微软雅黑"/>
          <w:b w:val="0"/>
          <w:sz w:val="21"/>
        </w:rPr>
        <w:t>Interaction: T→Ss; pair shout-out. Board: topic + genre + "~80 words".</w:t>
      </w:r>
    </w:p>
    <w:p>
      <w:pPr>
        <w:pStyle w:val="16"/>
        <w:spacing w:after="40"/>
        <w:ind w:left="397"/>
      </w:pPr>
      <w:r>
        <w:rPr>
          <w:rFonts w:ascii="Calibri" w:hAnsi="Calibri" w:eastAsia="微软雅黑"/>
          <w:b w:val="0"/>
          <w:sz w:val="21"/>
        </w:rPr>
        <w:t>Anticipated difficulty: students may miss that the opening is fixed → teacher explicitly flags "Do NOT rewrite the red sentence".</w:t>
      </w:r>
    </w:p>
    <w:p>
      <w:pPr>
        <w:spacing w:before="120" w:after="80"/>
      </w:pPr>
      <w:r>
        <w:rPr>
          <w:rFonts w:ascii="Calibri" w:hAnsi="Calibri" w:eastAsia="微软雅黑"/>
          <w:b/>
          <w:color w:val="28343C"/>
          <w:sz w:val="25"/>
        </w:rPr>
        <w:t>Stage 2 — Analyzing the Task (4 min)  [Slide 3]</w:t>
      </w:r>
    </w:p>
    <w:p>
      <w:pPr>
        <w:spacing w:after="60"/>
      </w:pPr>
      <w:r>
        <w:rPr>
          <w:rFonts w:ascii="Calibri" w:hAnsi="Calibri" w:eastAsia="微软雅黑"/>
          <w:b/>
          <w:sz w:val="21"/>
        </w:rPr>
        <w:t>Aim: turn vague "I'll just write" into a visible 3-dimension checklist.</w:t>
      </w:r>
    </w:p>
    <w:p>
      <w:pPr>
        <w:pStyle w:val="16"/>
        <w:spacing w:after="40"/>
        <w:ind w:left="397"/>
      </w:pPr>
      <w:r>
        <w:rPr>
          <w:rFonts w:ascii="Calibri" w:hAnsi="Calibri" w:eastAsia="微软雅黑"/>
          <w:b w:val="0"/>
          <w:sz w:val="21"/>
        </w:rPr>
        <w:t>Teacher guides three dimensions: (a) Communicative role — writer Li Hua, reader Jim (foreign friend), register semi-formal; (b) Content points — ① exhibit highlights (VR + folk crafts), ② personal reflection (tech empowers inheritance), ③ suggestion (bilingual guidance) + invitation; (c) Given info — opening provided, ending fixed "Yours, Li Hua".</w:t>
      </w:r>
    </w:p>
    <w:p>
      <w:pPr>
        <w:pStyle w:val="16"/>
        <w:spacing w:after="40"/>
        <w:ind w:left="397"/>
      </w:pPr>
      <w:r>
        <w:rPr>
          <w:rFonts w:ascii="Calibri" w:hAnsi="Calibri" w:eastAsia="微软雅黑"/>
          <w:b w:val="0"/>
          <w:sz w:val="21"/>
        </w:rPr>
        <w:t>Students: orally state the three points; complete Worksheet Task 1 (Task Checklist).</w:t>
      </w:r>
    </w:p>
    <w:p>
      <w:pPr>
        <w:pStyle w:val="16"/>
        <w:spacing w:after="40"/>
        <w:ind w:left="397"/>
      </w:pPr>
      <w:r>
        <w:rPr>
          <w:rFonts w:ascii="Calibri" w:hAnsi="Calibri" w:eastAsia="微软雅黑"/>
          <w:b w:val="0"/>
          <w:sz w:val="21"/>
        </w:rPr>
        <w:t>Interaction: guided Q&amp;A. Board: a 3-box checklist.</w:t>
      </w:r>
    </w:p>
    <w:p>
      <w:pPr>
        <w:pStyle w:val="16"/>
        <w:spacing w:after="40"/>
        <w:ind w:left="397"/>
      </w:pPr>
      <w:r>
        <w:rPr>
          <w:rFonts w:ascii="Calibri" w:hAnsi="Calibri" w:eastAsia="微软雅黑"/>
          <w:b w:val="0"/>
          <w:sz w:val="21"/>
        </w:rPr>
        <w:t>Anticipated difficulty: confusing 'reflection' with 'another highlight' → teacher separates 'what you saw' (highlight) from 'what you learned' (reflection).</w:t>
      </w:r>
    </w:p>
    <w:p>
      <w:pPr>
        <w:spacing w:before="120" w:after="80"/>
      </w:pPr>
      <w:r>
        <w:rPr>
          <w:rFonts w:ascii="Calibri" w:hAnsi="Calibri" w:eastAsia="微软雅黑"/>
          <w:b/>
          <w:color w:val="28343C"/>
          <w:sz w:val="25"/>
        </w:rPr>
        <w:t>Stage 3 — Logic Chain / Outline (5 min)  [Slide 4]</w:t>
      </w:r>
    </w:p>
    <w:p>
      <w:pPr>
        <w:spacing w:after="60"/>
      </w:pPr>
      <w:r>
        <w:rPr>
          <w:rFonts w:ascii="Calibri" w:hAnsi="Calibri" w:eastAsia="微软雅黑"/>
          <w:b/>
          <w:sz w:val="21"/>
        </w:rPr>
        <w:t>Aim: build the skeleton before filling in language; enforce 'no broken paragraphs'.</w:t>
      </w:r>
    </w:p>
    <w:p>
      <w:pPr>
        <w:pStyle w:val="16"/>
        <w:spacing w:after="40"/>
        <w:ind w:left="397"/>
      </w:pPr>
      <w:r>
        <w:rPr>
          <w:rFonts w:ascii="Calibri" w:hAnsi="Calibri" w:eastAsia="微软雅黑"/>
          <w:b w:val="0"/>
          <w:sz w:val="21"/>
        </w:rPr>
        <w:t>Teacher presents the 3-paragraph logic chain: Para 1 lead-in (respond to Jim's interest → name the zone); Para 2 highlights + reflection + suggestion (VR+ICH fusion, immersive experience, tech empowers inheritance, add bilingual guidance); Para 3 invitation / closing.</w:t>
      </w:r>
    </w:p>
    <w:p>
      <w:pPr>
        <w:pStyle w:val="16"/>
        <w:spacing w:after="40"/>
        <w:ind w:left="397"/>
      </w:pPr>
      <w:r>
        <w:rPr>
          <w:rFonts w:ascii="Calibri" w:hAnsi="Calibri" w:eastAsia="微软雅黑"/>
          <w:b w:val="0"/>
          <w:sz w:val="21"/>
        </w:rPr>
        <w:t>Sentence strategy on slide: prefer participial adverbials, passive voice, Not only…but also inversion, non-restrictive attributive clauses; AVOID monotone 'I think / I believe'.</w:t>
      </w:r>
    </w:p>
    <w:p>
      <w:pPr>
        <w:pStyle w:val="16"/>
        <w:spacing w:after="40"/>
        <w:ind w:left="397"/>
      </w:pPr>
      <w:r>
        <w:rPr>
          <w:rFonts w:ascii="Calibri" w:hAnsi="Calibri" w:eastAsia="微软雅黑"/>
          <w:b w:val="0"/>
          <w:sz w:val="21"/>
        </w:rPr>
        <w:t>Students: draft a 3-line outline on Worksheet Task 2.</w:t>
      </w:r>
    </w:p>
    <w:p>
      <w:pPr>
        <w:pStyle w:val="16"/>
        <w:spacing w:after="40"/>
        <w:ind w:left="397"/>
      </w:pPr>
      <w:r>
        <w:rPr>
          <w:rFonts w:ascii="Calibri" w:hAnsi="Calibri" w:eastAsia="微软雅黑"/>
          <w:b w:val="0"/>
          <w:sz w:val="21"/>
        </w:rPr>
        <w:t>Interaction: T models → Ss draft individually. Board: Para1 / Para2 / Para3 with one keyword each.</w:t>
      </w:r>
    </w:p>
    <w:p>
      <w:pPr>
        <w:spacing w:before="120" w:after="80"/>
      </w:pPr>
      <w:r>
        <w:rPr>
          <w:rFonts w:ascii="Calibri" w:hAnsi="Calibri" w:eastAsia="微软雅黑"/>
          <w:b/>
          <w:color w:val="28343C"/>
          <w:sz w:val="25"/>
        </w:rPr>
        <w:t>Stage 4 — Lexicon Build-up (7 min)  [Slides 5–6]</w:t>
      </w:r>
    </w:p>
    <w:p>
      <w:pPr>
        <w:spacing w:after="60"/>
      </w:pPr>
      <w:r>
        <w:rPr>
          <w:rFonts w:ascii="Calibri" w:hAnsi="Calibri" w:eastAsia="微软雅黑"/>
          <w:b/>
          <w:sz w:val="21"/>
        </w:rPr>
        <w:t>Aim: supply topic-specific chunks so students are never 'lexically stuck'.</w:t>
      </w:r>
    </w:p>
    <w:p>
      <w:pPr>
        <w:pStyle w:val="16"/>
        <w:spacing w:after="40"/>
        <w:ind w:left="397"/>
      </w:pPr>
      <w:r>
        <w:rPr>
          <w:rFonts w:ascii="Calibri" w:hAnsi="Calibri" w:eastAsia="微软雅黑"/>
          <w:b w:val="0"/>
          <w:sz w:val="21"/>
        </w:rPr>
        <w:t>Teacher drills Lexicon I &amp; II by function: Opening — thrilled to share…with you; newly-launched exhibition; share what makes it special. Highlights — stand out for; the perfect integration of; immersive VR headsets; be transported back to ancient times; virtually experience…procedures; paper-making and paper-cutting. Reflection — revitalize fading cultural heritage; help youth inherit traditional culture; complement each other; bilingual guidance / visitor-friendly. Closing — innovative exhibition; worthy of every minute of your visit; if you have a chance to visit China; a rare window into Chinese heritage.</w:t>
      </w:r>
    </w:p>
    <w:p>
      <w:pPr>
        <w:pStyle w:val="16"/>
        <w:spacing w:after="40"/>
        <w:ind w:left="397"/>
      </w:pPr>
      <w:r>
        <w:rPr>
          <w:rFonts w:ascii="Calibri" w:hAnsi="Calibri" w:eastAsia="微软雅黑"/>
          <w:b w:val="0"/>
          <w:sz w:val="21"/>
        </w:rPr>
        <w:t>Teacher models 2 collocations, then chorus-reads; nominates individuals to make a sentence with one chunk.</w:t>
      </w:r>
    </w:p>
    <w:p>
      <w:pPr>
        <w:pStyle w:val="16"/>
        <w:spacing w:after="40"/>
        <w:ind w:left="397"/>
      </w:pPr>
      <w:r>
        <w:rPr>
          <w:rFonts w:ascii="Calibri" w:hAnsi="Calibri" w:eastAsia="微软雅黑"/>
          <w:b w:val="0"/>
          <w:sz w:val="21"/>
        </w:rPr>
        <w:t>Students: chorus-read; pick 4 favourite chunks and copy Chinese on Worksheet Task 3.</w:t>
      </w:r>
    </w:p>
    <w:p>
      <w:pPr>
        <w:pStyle w:val="16"/>
        <w:spacing w:after="40"/>
        <w:ind w:left="397"/>
      </w:pPr>
      <w:r>
        <w:rPr>
          <w:rFonts w:ascii="Calibri" w:hAnsi="Calibri" w:eastAsia="微软雅黑"/>
          <w:b w:val="0"/>
          <w:sz w:val="21"/>
        </w:rPr>
        <w:t>Interaction: drill + individual nomination. Anticipated difficulty: 'integration' mispronounced/stressed → teacher marks stress.</w:t>
      </w:r>
    </w:p>
    <w:p>
      <w:pPr>
        <w:spacing w:before="120" w:after="80"/>
      </w:pPr>
      <w:r>
        <w:rPr>
          <w:rFonts w:ascii="Calibri" w:hAnsi="Calibri" w:eastAsia="微软雅黑"/>
          <w:b/>
          <w:color w:val="28343C"/>
          <w:sz w:val="25"/>
        </w:rPr>
        <w:t>Stage 5 — Sentence Scaffolds (6 min)  [Slide 7]</w:t>
      </w:r>
    </w:p>
    <w:p>
      <w:pPr>
        <w:spacing w:after="60"/>
      </w:pPr>
      <w:r>
        <w:rPr>
          <w:rFonts w:ascii="Calibri" w:hAnsi="Calibri" w:eastAsia="微软雅黑"/>
          <w:b/>
          <w:sz w:val="21"/>
        </w:rPr>
        <w:t>Aim: break the 'I think' habit and install three scoring structures.</w:t>
      </w:r>
    </w:p>
    <w:p>
      <w:pPr>
        <w:pStyle w:val="16"/>
        <w:spacing w:after="40"/>
        <w:ind w:left="397"/>
      </w:pPr>
      <w:r>
        <w:rPr>
          <w:rFonts w:ascii="Calibri" w:hAnsi="Calibri" w:eastAsia="微软雅黑"/>
          <w:b w:val="0"/>
          <w:sz w:val="21"/>
        </w:rPr>
        <w:t>Teacher teaches 5 patterns with models: ① Perfect participial — Having visited…, I'm thrilled to share… ② With + passive — With VR headsets, visitors are transported back… ③ Not only…but also inversion — Not only does technology revitalize…, but it also… ④ What-clause subject — What struck me most was how VR brings traditions back. ⑤ Only by inversion — Only by bridging past and future can we keep it alive.</w:t>
      </w:r>
    </w:p>
    <w:p>
      <w:pPr>
        <w:pStyle w:val="16"/>
        <w:spacing w:after="40"/>
        <w:ind w:left="397"/>
      </w:pPr>
      <w:r>
        <w:rPr>
          <w:rFonts w:ascii="Calibri" w:hAnsi="Calibri" w:eastAsia="微软雅黑"/>
          <w:b w:val="0"/>
          <w:sz w:val="21"/>
        </w:rPr>
        <w:t>Guided practice: Ss upgrade 3 plain sentences on Worksheet Task 4 in class, then teacher checks answers on the board (circling auxiliary-verb position in inversions).</w:t>
      </w:r>
    </w:p>
    <w:p>
      <w:pPr>
        <w:pStyle w:val="16"/>
        <w:spacing w:after="40"/>
        <w:ind w:left="397"/>
      </w:pPr>
      <w:r>
        <w:rPr>
          <w:rFonts w:ascii="Calibri" w:hAnsi="Calibri" w:eastAsia="微软雅黑"/>
          <w:b w:val="0"/>
          <w:sz w:val="21"/>
        </w:rPr>
        <w:t>Interaction: teach → guided write → check. Anticipated difficulty: inversion word order (auxiliary before subject) → teacher circles the auxiliary in red.</w:t>
      </w:r>
    </w:p>
    <w:p>
      <w:pPr>
        <w:spacing w:before="120" w:after="80"/>
      </w:pPr>
      <w:r>
        <w:rPr>
          <w:rFonts w:ascii="Calibri" w:hAnsi="Calibri" w:eastAsia="微软雅黑"/>
          <w:b/>
          <w:color w:val="28343C"/>
          <w:sz w:val="25"/>
        </w:rPr>
        <w:t>Stage 6 — Model Close Reading (7 min)  [Slides 8–9]</w:t>
      </w:r>
    </w:p>
    <w:p>
      <w:pPr>
        <w:spacing w:after="60"/>
      </w:pPr>
      <w:r>
        <w:rPr>
          <w:rFonts w:ascii="Calibri" w:hAnsi="Calibri" w:eastAsia="微软雅黑"/>
          <w:b/>
          <w:sz w:val="21"/>
        </w:rPr>
        <w:t>Aim: input a quality model and train the eye to spot advanced structures.</w:t>
      </w:r>
    </w:p>
    <w:p>
      <w:pPr>
        <w:pStyle w:val="16"/>
        <w:spacing w:after="40"/>
        <w:ind w:left="397"/>
      </w:pPr>
      <w:r>
        <w:rPr>
          <w:rFonts w:ascii="Calibri" w:hAnsi="Calibri" w:eastAsia="微软雅黑"/>
          <w:b w:val="0"/>
          <w:sz w:val="21"/>
        </w:rPr>
        <w:t>Teacher displays the official model (EN + CN); reads aloud; Ss follow. Annotation walk: T underlines the participial adverbial (Having visited…), the inversion (Not only does…), 'Admittedly' + -ing clause, and 'bilingual guidance'.</w:t>
      </w:r>
    </w:p>
    <w:p>
      <w:pPr>
        <w:pStyle w:val="16"/>
        <w:spacing w:after="40"/>
        <w:ind w:left="397"/>
      </w:pPr>
      <w:r>
        <w:rPr>
          <w:rFonts w:ascii="Calibri" w:hAnsi="Calibri" w:eastAsia="微软雅黑"/>
          <w:b w:val="0"/>
          <w:sz w:val="21"/>
        </w:rPr>
        <w:t>Comprehension check: 'What suggestion does Li Hua give?' → bilingual guidance. 'How does VR help inheritance?' → revitalize fading heritage.</w:t>
      </w:r>
    </w:p>
    <w:p>
      <w:pPr>
        <w:pStyle w:val="16"/>
        <w:spacing w:after="40"/>
        <w:ind w:left="397"/>
      </w:pPr>
      <w:r>
        <w:rPr>
          <w:rFonts w:ascii="Calibri" w:hAnsi="Calibri" w:eastAsia="微软雅黑"/>
          <w:b w:val="0"/>
          <w:sz w:val="21"/>
        </w:rPr>
        <w:t>Students: mark ≥3 advanced structures on Worksheet Task 5 and copy their favourite sentence.</w:t>
      </w:r>
    </w:p>
    <w:p>
      <w:pPr>
        <w:pStyle w:val="16"/>
        <w:spacing w:after="40"/>
        <w:ind w:left="397"/>
      </w:pPr>
      <w:r>
        <w:rPr>
          <w:rFonts w:ascii="Calibri" w:hAnsi="Calibri" w:eastAsia="微软雅黑"/>
          <w:b w:val="0"/>
          <w:sz w:val="21"/>
        </w:rPr>
        <w:t>Interaction: T reads + annotates, Ss mark. Board: the underlined model sentence stays projected.</w:t>
      </w:r>
    </w:p>
    <w:p>
      <w:pPr>
        <w:spacing w:before="120" w:after="80"/>
      </w:pPr>
      <w:r>
        <w:rPr>
          <w:rFonts w:ascii="Calibri" w:hAnsi="Calibri" w:eastAsia="微软雅黑"/>
          <w:b/>
          <w:color w:val="28343C"/>
          <w:sz w:val="25"/>
        </w:rPr>
        <w:t>Stage 7 — Variant Comparison (4 min)  [Slides 10–11]</w:t>
      </w:r>
    </w:p>
    <w:p>
      <w:pPr>
        <w:spacing w:after="60"/>
      </w:pPr>
      <w:r>
        <w:rPr>
          <w:rFonts w:ascii="Calibri" w:hAnsi="Calibri" w:eastAsia="微软雅黑"/>
          <w:b/>
          <w:sz w:val="21"/>
        </w:rPr>
        <w:t>Aim: show how a Band-3 answer becomes Band-5.</w:t>
      </w:r>
    </w:p>
    <w:p>
      <w:pPr>
        <w:pStyle w:val="16"/>
        <w:spacing w:after="40"/>
        <w:ind w:left="397"/>
      </w:pPr>
      <w:r>
        <w:rPr>
          <w:rFonts w:ascii="Calibri" w:hAnsi="Calibri" w:eastAsia="微软雅黑"/>
          <w:b w:val="0"/>
          <w:sz w:val="21"/>
        </w:rPr>
        <w:t>Teacher shows two teacher models: Version 1 uses a non-restrictive relative clause + subject clause + 'From my perspective'; Version 2 (Advanced) uses 'not merely…but actively taking part', 'seasoned craftsmen', '3D virtual world', and closes with the quote "The best way to predict the future is to create it."</w:t>
      </w:r>
    </w:p>
    <w:p>
      <w:pPr>
        <w:pStyle w:val="16"/>
        <w:spacing w:after="40"/>
        <w:ind w:left="397"/>
      </w:pPr>
      <w:r>
        <w:rPr>
          <w:rFonts w:ascii="Calibri" w:hAnsi="Calibri" w:eastAsia="微软雅黑"/>
          <w:b w:val="0"/>
          <w:sz w:val="21"/>
        </w:rPr>
        <w:t>Pair discussion: 'Which sentence best shows personal involvement? Which ending is more impressive? Why?'</w:t>
      </w:r>
    </w:p>
    <w:p>
      <w:pPr>
        <w:pStyle w:val="16"/>
        <w:spacing w:after="40"/>
        <w:ind w:left="397"/>
      </w:pPr>
      <w:r>
        <w:rPr>
          <w:rFonts w:ascii="Calibri" w:hAnsi="Calibri" w:eastAsia="微软雅黑"/>
          <w:b w:val="0"/>
          <w:sz w:val="21"/>
        </w:rPr>
        <w:t>Students: discuss in pairs; report one difference. Teacher concludes: layering + a apt quote lifts the band.</w:t>
      </w:r>
    </w:p>
    <w:p>
      <w:pPr>
        <w:pStyle w:val="16"/>
        <w:spacing w:after="40"/>
        <w:ind w:left="397"/>
      </w:pPr>
      <w:r>
        <w:rPr>
          <w:rFonts w:ascii="Calibri" w:hAnsi="Calibri" w:eastAsia="微软雅黑"/>
          <w:b w:val="0"/>
          <w:sz w:val="21"/>
        </w:rPr>
        <w:t>Interaction: pair talk → report. Anticipated difficulty: students copy the quote blindly → teacher warns 'only when it fits the tone'.</w:t>
      </w:r>
    </w:p>
    <w:p>
      <w:pPr>
        <w:spacing w:before="120" w:after="80"/>
      </w:pPr>
      <w:r>
        <w:rPr>
          <w:rFonts w:ascii="Calibri" w:hAnsi="Calibri" w:eastAsia="微软雅黑"/>
          <w:b/>
          <w:color w:val="28343C"/>
          <w:sz w:val="25"/>
        </w:rPr>
        <w:t>Stage 8 — Pitfall Check &amp; Key Takeaways (5 min)  [Slides 12–13]</w:t>
      </w:r>
    </w:p>
    <w:p>
      <w:pPr>
        <w:spacing w:after="60"/>
      </w:pPr>
      <w:r>
        <w:rPr>
          <w:rFonts w:ascii="Calibri" w:hAnsi="Calibri" w:eastAsia="微软雅黑"/>
          <w:b/>
          <w:sz w:val="21"/>
        </w:rPr>
        <w:t>Aim: pre-exam error-proofing and a memorable strategy.</w:t>
      </w:r>
    </w:p>
    <w:p>
      <w:pPr>
        <w:pStyle w:val="16"/>
        <w:spacing w:after="40"/>
        <w:ind w:left="397"/>
      </w:pPr>
      <w:r>
        <w:rPr>
          <w:rFonts w:ascii="Calibri" w:hAnsi="Calibri" w:eastAsia="微软雅黑"/>
          <w:b w:val="0"/>
          <w:sz w:val="21"/>
        </w:rPr>
        <w:t>Teacher goes through 6 pitfalls: ① rewriting the given opening; ② missing content points; ③ monotone sentences; ④ word-count out of control (keep ~80, not &lt;60 / &gt;120); ⑤ preachy tone; ⑥ wrong signing-off.</w:t>
      </w:r>
    </w:p>
    <w:p>
      <w:pPr>
        <w:pStyle w:val="16"/>
        <w:spacing w:after="40"/>
        <w:ind w:left="397"/>
      </w:pPr>
      <w:r>
        <w:rPr>
          <w:rFonts w:ascii="Calibri" w:hAnsi="Calibri" w:eastAsia="微软雅黑"/>
          <w:b w:val="0"/>
          <w:sz w:val="21"/>
        </w:rPr>
        <w:t>Students: self-check and tick their common errors on the worksheet.</w:t>
      </w:r>
    </w:p>
    <w:p>
      <w:pPr>
        <w:pStyle w:val="16"/>
        <w:spacing w:after="40"/>
        <w:ind w:left="397"/>
      </w:pPr>
      <w:r>
        <w:rPr>
          <w:rFonts w:ascii="Calibri" w:hAnsi="Calibri" w:eastAsia="微软雅黑"/>
          <w:b w:val="0"/>
          <w:sz w:val="21"/>
        </w:rPr>
        <w:t>Teacher sums up Key Takeaways — Structure / Lexicon / Sentence / Culture — and a mnemonic: 'Open with a participle, show levels with inversion, close with an invitation.' Whole class chants it.</w:t>
      </w:r>
    </w:p>
    <w:p>
      <w:pPr>
        <w:pStyle w:val="16"/>
        <w:spacing w:after="40"/>
        <w:ind w:left="397"/>
      </w:pPr>
      <w:r>
        <w:rPr>
          <w:rFonts w:ascii="Calibri" w:hAnsi="Calibri" w:eastAsia="微软雅黑"/>
          <w:b w:val="0"/>
          <w:sz w:val="21"/>
        </w:rPr>
        <w:t>Interaction: T lists → Ss self-check → class chant.</w:t>
      </w:r>
    </w:p>
    <w:p>
      <w:pPr>
        <w:spacing w:before="120" w:after="80"/>
      </w:pPr>
      <w:r>
        <w:rPr>
          <w:rFonts w:ascii="Calibri" w:hAnsi="Calibri" w:eastAsia="微软雅黑"/>
          <w:b/>
          <w:color w:val="28343C"/>
          <w:sz w:val="25"/>
        </w:rPr>
        <w:t>Stage 9 — Themed Lexis &amp; Culture Output (4 min)  [Slides 14–16]</w:t>
      </w:r>
    </w:p>
    <w:p>
      <w:pPr>
        <w:spacing w:after="60"/>
      </w:pPr>
      <w:r>
        <w:rPr>
          <w:rFonts w:ascii="Calibri" w:hAnsi="Calibri" w:eastAsia="微软雅黑"/>
          <w:b/>
          <w:sz w:val="21"/>
        </w:rPr>
        <w:t>Aim: build a reusable cultural lexicon and transfer across topics.</w:t>
      </w:r>
    </w:p>
    <w:p>
      <w:pPr>
        <w:pStyle w:val="16"/>
        <w:spacing w:after="40"/>
        <w:ind w:left="397"/>
      </w:pPr>
      <w:r>
        <w:rPr>
          <w:rFonts w:ascii="Calibri" w:hAnsi="Calibri" w:eastAsia="微软雅黑"/>
          <w:b w:val="0"/>
          <w:sz w:val="21"/>
        </w:rPr>
        <w:t>Teacher flashes the ICH lexicon (paper-cutting, embroidery, porcelain, calligraphy, shadow puppetry, Peking opera, inherit / pass down, intangible cultural heritage) and VR lexicon (virtual reality, immersive, holographic projection, simulate, interactive, augmented reality, cutting-edge, 3D virtual world, bring…back to life).</w:t>
      </w:r>
    </w:p>
    <w:p>
      <w:pPr>
        <w:pStyle w:val="16"/>
        <w:spacing w:after="40"/>
        <w:ind w:left="397"/>
      </w:pPr>
      <w:r>
        <w:rPr>
          <w:rFonts w:ascii="Calibri" w:hAnsi="Calibri" w:eastAsia="微软雅黑"/>
          <w:b w:val="0"/>
          <w:sz w:val="21"/>
        </w:rPr>
        <w:t>Then the culture-output sentences (Slide 16): 'This exhibition offers a rare window into Chinese heritage.' / 'It bridges tradition and modernity, bringing our culture to life.' / 'Such innovation helps Chinese culture go global.'</w:t>
      </w:r>
    </w:p>
    <w:p>
      <w:pPr>
        <w:pStyle w:val="16"/>
        <w:spacing w:after="40"/>
        <w:ind w:left="397"/>
      </w:pPr>
      <w:r>
        <w:rPr>
          <w:rFonts w:ascii="Calibri" w:hAnsi="Calibri" w:eastAsia="微软雅黑"/>
          <w:b w:val="0"/>
          <w:sz w:val="21"/>
        </w:rPr>
        <w:t>Transfer prompt: 'Which phrase can you reuse for a traditional-festival or paper-cutting-club topic?' Ss brainstorm one.</w:t>
      </w:r>
    </w:p>
    <w:p>
      <w:pPr>
        <w:pStyle w:val="16"/>
        <w:spacing w:after="40"/>
        <w:ind w:left="397"/>
      </w:pPr>
      <w:r>
        <w:rPr>
          <w:rFonts w:ascii="Calibri" w:hAnsi="Calibri" w:eastAsia="微软雅黑"/>
          <w:b w:val="0"/>
          <w:sz w:val="21"/>
        </w:rPr>
        <w:t>Interaction: flash + brainstorm. Anticipated difficulty: 'holographic project ion' is split on slide → teacher reads 'holographic projection' as one word.</w:t>
      </w:r>
    </w:p>
    <w:p>
      <w:pPr>
        <w:spacing w:before="120" w:after="80"/>
      </w:pPr>
      <w:r>
        <w:rPr>
          <w:rFonts w:ascii="Calibri" w:hAnsi="Calibri" w:eastAsia="微软雅黑"/>
          <w:b/>
          <w:color w:val="28343C"/>
          <w:sz w:val="25"/>
        </w:rPr>
        <w:t>Post-class — Mini Practice (Slides 17–18)  [Homework]</w:t>
      </w:r>
    </w:p>
    <w:p>
      <w:pPr>
        <w:pStyle w:val="16"/>
        <w:spacing w:after="40"/>
        <w:ind w:left="397"/>
      </w:pPr>
      <w:r>
        <w:rPr>
          <w:rFonts w:ascii="Calibri" w:hAnsi="Calibri" w:eastAsia="微软雅黑"/>
          <w:b w:val="0"/>
          <w:sz w:val="21"/>
        </w:rPr>
        <w:t>Task: write a SPEECH for the school English club salon 'Tech Empowers Traditional Culture'; introduce how VR helps ICH 'come alive' and call on peers to approach ICH; ~80 words; opening/closing given (not counted).</w:t>
      </w:r>
    </w:p>
    <w:p>
      <w:pPr>
        <w:pStyle w:val="16"/>
        <w:spacing w:after="40"/>
        <w:ind w:left="397"/>
      </w:pPr>
      <w:r>
        <w:rPr>
          <w:rFonts w:ascii="Calibri" w:hAnsi="Calibri" w:eastAsia="微软雅黑"/>
          <w:b w:val="0"/>
          <w:sz w:val="21"/>
        </w:rPr>
        <w:t>Reference model provided on Slide 18 (~95 words body). Students complete Worksheet Task 6 and self/peer-assess with the Task 7 rubric (6 dimensions / 30 pts).</w:t>
      </w:r>
    </w:p>
    <w:p>
      <w:pPr>
        <w:pStyle w:val="16"/>
        <w:spacing w:after="40"/>
        <w:ind w:left="397"/>
      </w:pPr>
      <w:r>
        <w:rPr>
          <w:rFonts w:ascii="Calibri" w:hAnsi="Calibri" w:eastAsia="微软雅黑"/>
          <w:b w:val="0"/>
          <w:sz w:val="21"/>
        </w:rPr>
        <w:t>Purpose: transfer the letter skills to a new genre (speech) and confirm mastery.</w:t>
      </w:r>
    </w:p>
    <w:p>
      <w:pPr>
        <w:spacing w:before="200" w:after="80"/>
      </w:pPr>
      <w:r>
        <w:rPr>
          <w:rFonts w:ascii="Calibri" w:hAnsi="Calibri" w:eastAsia="微软雅黑"/>
          <w:b/>
          <w:color w:val="1F262A"/>
          <w:sz w:val="32"/>
        </w:rPr>
        <w:t>7. Blackboard Design</w:t>
      </w:r>
    </w:p>
    <w:p>
      <w:pPr>
        <w:spacing w:after="60"/>
      </w:pPr>
      <w:r>
        <w:rPr>
          <w:rFonts w:ascii="Calibri" w:hAnsi="Calibri" w:eastAsia="微软雅黑"/>
          <w:b/>
          <w:sz w:val="22"/>
        </w:rPr>
        <w:t>When ICH Meets VR — Practical Writing Review</w:t>
      </w:r>
    </w:p>
    <w:p>
      <w:pPr>
        <w:spacing w:after="60"/>
        <w:ind w:left="397"/>
      </w:pPr>
      <w:r>
        <w:rPr>
          <w:rFonts w:ascii="Calibri" w:hAnsi="Calibri" w:eastAsia="微软雅黑"/>
          <w:b w:val="0"/>
          <w:sz w:val="22"/>
        </w:rPr>
        <w:t>Structure:  Para1 lead-in  →  Para2 highlight + reflection  →  Para3 suggestion + invitation</w:t>
      </w:r>
    </w:p>
    <w:p>
      <w:pPr>
        <w:spacing w:after="60"/>
        <w:ind w:left="397"/>
      </w:pPr>
      <w:r>
        <w:rPr>
          <w:rFonts w:ascii="Calibri" w:hAnsi="Calibri" w:eastAsia="微软雅黑"/>
          <w:b w:val="0"/>
          <w:sz w:val="22"/>
        </w:rPr>
        <w:t>Lexis:  stand out for / integration / immersive / revitalize / bring … back to life</w:t>
      </w:r>
    </w:p>
    <w:p>
      <w:pPr>
        <w:spacing w:after="60"/>
        <w:ind w:left="397"/>
      </w:pPr>
      <w:r>
        <w:rPr>
          <w:rFonts w:ascii="Calibri" w:hAnsi="Calibri" w:eastAsia="微软雅黑"/>
          <w:b w:val="0"/>
          <w:sz w:val="22"/>
        </w:rPr>
        <w:t>Sentence:  Having done…  /  Not only…but also  /  What-subject clause</w:t>
      </w:r>
    </w:p>
    <w:p>
      <w:pPr>
        <w:spacing w:after="60"/>
        <w:ind w:left="397"/>
      </w:pPr>
      <w:r>
        <w:rPr>
          <w:rFonts w:ascii="Calibri" w:hAnsi="Calibri" w:eastAsia="微软雅黑"/>
          <w:b w:val="0"/>
          <w:sz w:val="22"/>
        </w:rPr>
        <w:t>Culture:  bilingual / visitor-friendly / go global  (confident, not preachy)</w:t>
      </w:r>
    </w:p>
    <w:p>
      <w:pPr>
        <w:spacing w:before="200" w:after="80"/>
      </w:pPr>
      <w:r>
        <w:rPr>
          <w:rFonts w:ascii="Calibri" w:hAnsi="Calibri" w:eastAsia="微软雅黑"/>
          <w:b/>
          <w:color w:val="1F262A"/>
          <w:sz w:val="32"/>
        </w:rPr>
        <w:t>8. Homework</w:t>
      </w:r>
    </w:p>
    <w:p>
      <w:pPr>
        <w:pStyle w:val="16"/>
        <w:spacing w:after="40"/>
        <w:ind w:left="397"/>
      </w:pPr>
      <w:r>
        <w:rPr>
          <w:rFonts w:ascii="Calibri" w:hAnsi="Calibri" w:eastAsia="微软雅黑"/>
          <w:b w:val="0"/>
          <w:sz w:val="21"/>
        </w:rPr>
        <w:t>Finish Worksheet Task 6 (speech variant, ~80 words) and self/peer-assess with the Task 7 rubric.</w:t>
      </w:r>
    </w:p>
    <w:p>
      <w:pPr>
        <w:pStyle w:val="16"/>
        <w:spacing w:after="40"/>
        <w:ind w:left="397"/>
      </w:pPr>
      <w:r>
        <w:rPr>
          <w:rFonts w:ascii="Calibri" w:hAnsi="Calibri" w:eastAsia="微软雅黑"/>
          <w:b w:val="0"/>
          <w:sz w:val="21"/>
        </w:rPr>
        <w:t>Pick 5 words from the ICH / VR lexicon and make 1 culture-output sentence.</w:t>
      </w:r>
    </w:p>
    <w:p>
      <w:pPr>
        <w:pStyle w:val="16"/>
        <w:spacing w:after="40"/>
        <w:ind w:left="397"/>
      </w:pPr>
      <w:r>
        <w:rPr>
          <w:rFonts w:ascii="Calibri" w:hAnsi="Calibri" w:eastAsia="微软雅黑"/>
          <w:b w:val="0"/>
          <w:sz w:val="21"/>
        </w:rPr>
        <w:t>Revise your own exam application letter; upgrade ≥2 sentences with this lesson's patterns.</w:t>
      </w:r>
    </w:p>
    <w:p>
      <w:pPr>
        <w:spacing w:before="200" w:after="80"/>
      </w:pPr>
      <w:r>
        <w:rPr>
          <w:rFonts w:ascii="Calibri" w:hAnsi="Calibri" w:eastAsia="微软雅黑"/>
          <w:b/>
          <w:color w:val="1F262A"/>
          <w:sz w:val="32"/>
        </w:rPr>
        <w:t>9. Reflection (filled after class)</w:t>
      </w:r>
    </w:p>
    <w:p>
      <w:pPr>
        <w:spacing w:after="60"/>
        <w:ind w:left="397"/>
      </w:pPr>
      <w:r>
        <w:rPr>
          <w:rFonts w:ascii="Calibri" w:hAnsi="Calibri" w:eastAsia="微软雅黑"/>
          <w:b w:val="0"/>
          <w:sz w:val="20"/>
        </w:rPr>
        <w:t>________________________________________________________________________</w:t>
      </w:r>
    </w:p>
    <w:p>
      <w:pPr>
        <w:spacing w:after="60"/>
        <w:ind w:left="397"/>
      </w:pPr>
      <w:r>
        <w:rPr>
          <w:rFonts w:ascii="Calibri" w:hAnsi="Calibri" w:eastAsia="微软雅黑"/>
          <w:b w:val="0"/>
          <w:sz w:val="20"/>
        </w:rPr>
        <w:t>________________________________________________________________________</w:t>
      </w:r>
    </w:p>
    <w:sectPr>
      <w:headerReference r:id="rId3" w:type="default"/>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语文格子"/>
    <w:panose1 w:val="00000000000000000000"/>
    <w:charset w:val="00"/>
    <w:family w:val="auto"/>
    <w:pitch w:val="default"/>
    <w:sig w:usb0="00000000" w:usb1="00000000" w:usb2="00000000" w:usb3="00000000" w:csb0="00000000" w:csb1="00000000"/>
  </w:font>
  <w:font w:name="语文格子">
    <w:panose1 w:val="02000500000000000000"/>
    <w:charset w:val="00"/>
    <w:family w:val="auto"/>
    <w:pitch w:val="default"/>
    <w:sig w:usb0="00000023" w:usb1="00002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6ED1A1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微软雅黑" w:cstheme="minorBidi"/>
      <w:sz w:val="22"/>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2">
    <w:name w:val="Default Paragraph Font"/>
    <w:semiHidden/>
    <w:unhideWhenUsed/>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80" w:hanging="360"/>
      <w:contextualSpacing/>
    </w:pPr>
  </w:style>
  <w:style w:type="paragraph" w:styleId="12">
    <w:name w:val="List Number 2"/>
    <w:basedOn w:val="1"/>
    <w:unhideWhenUsed/>
    <w:qFormat/>
    <w:uiPriority w:val="99"/>
    <w:pPr>
      <w:numPr>
        <w:ilvl w:val="0"/>
        <w:numId w:val="1"/>
      </w:numPr>
      <w:contextualSpacing/>
    </w:pPr>
  </w:style>
  <w:style w:type="paragraph" w:styleId="13">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3">
    <w:name w:val="Strong"/>
    <w:basedOn w:val="32"/>
    <w:qFormat/>
    <w:uiPriority w:val="22"/>
    <w:rPr>
      <w:b/>
      <w:bCs/>
    </w:rPr>
  </w:style>
  <w:style w:type="character" w:styleId="34">
    <w:name w:val="Emphasis"/>
    <w:basedOn w:val="32"/>
    <w:qFormat/>
    <w:uiPriority w:val="20"/>
    <w:rPr>
      <w:i/>
      <w:iCs/>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8">
    <w:name w:val="Light Shading Accent 1"/>
    <w:basedOn w:val="35"/>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39">
    <w:name w:val="Light Shading Accent 2"/>
    <w:basedOn w:val="35"/>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0">
    <w:name w:val="Light Shading Accent 3"/>
    <w:basedOn w:val="35"/>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1">
    <w:name w:val="Light Shading Accent 4"/>
    <w:basedOn w:val="35"/>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2">
    <w:name w:val="Light Shading Accent 5"/>
    <w:basedOn w:val="35"/>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3">
    <w:name w:val="Light Shading Accent 6"/>
    <w:basedOn w:val="35"/>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4">
    <w:name w:val="Light List"/>
    <w:basedOn w:val="35"/>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59">
    <w:name w:val="Medium Shading 1 Accent 1"/>
    <w:basedOn w:val="35"/>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0">
    <w:name w:val="Medium Shading 1 Accent 2"/>
    <w:basedOn w:val="35"/>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1">
    <w:name w:val="Medium Shading 1 Accent 3"/>
    <w:basedOn w:val="35"/>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2">
    <w:name w:val="Medium Shading 1 Accent 4"/>
    <w:basedOn w:val="35"/>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3">
    <w:name w:val="Medium Shading 1 Accent 5"/>
    <w:basedOn w:val="35"/>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4">
    <w:name w:val="Medium Shading 1 Accent 6"/>
    <w:basedOn w:val="35"/>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5">
    <w:name w:val="Medium Shading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List 1"/>
    <w:basedOn w:val="35"/>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3">
    <w:name w:val="Medium List 1 Accent 1"/>
    <w:basedOn w:val="35"/>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4">
    <w:name w:val="Medium List 1 Accent 2"/>
    <w:basedOn w:val="35"/>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5">
    <w:name w:val="Medium List 1 Accent 3"/>
    <w:basedOn w:val="35"/>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6">
    <w:name w:val="Medium List 1 Accent 4"/>
    <w:basedOn w:val="35"/>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7">
    <w:name w:val="Medium List 1 Accent 5"/>
    <w:basedOn w:val="35"/>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8">
    <w:name w:val="Medium List 1 Accent 6"/>
    <w:basedOn w:val="35"/>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79">
    <w:name w:val="Medium Lis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0">
    <w:name w:val="Medium List 2 Accent 1"/>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3"/>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4"/>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5"/>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6"/>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Grid 1"/>
    <w:basedOn w:val="35"/>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7">
    <w:name w:val="Medium Grid 1 Accent 1"/>
    <w:basedOn w:val="35"/>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8">
    <w:name w:val="Medium Grid 1 Accent 2"/>
    <w:basedOn w:val="35"/>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9">
    <w:name w:val="Medium Grid 1 Accent 3"/>
    <w:basedOn w:val="35"/>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0">
    <w:name w:val="Medium Grid 1 Accent 4"/>
    <w:basedOn w:val="35"/>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1">
    <w:name w:val="Medium Grid 1 Accent 5"/>
    <w:basedOn w:val="35"/>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2">
    <w:name w:val="Medium Grid 1 Accent 6"/>
    <w:basedOn w:val="35"/>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3">
    <w:name w:val="Medium Grid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4">
    <w:name w:val="Medium Grid 2 Accent 1"/>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5">
    <w:name w:val="Medium Grid 2 Accent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6">
    <w:name w:val="Medium Grid 2 Accent 3"/>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7">
    <w:name w:val="Medium Grid 2 Accent 4"/>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8">
    <w:name w:val="Medium Grid 2 Accent 5"/>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99">
    <w:name w:val="Medium Grid 2 Accent 6"/>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0">
    <w:name w:val="Medium Grid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8">
    <w:name w:val="Colorful Shading Accent 4"/>
    <w:basedOn w:val="35"/>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2">
    <w:name w:val="Colorful List Accent 1"/>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3">
    <w:name w:val="Colorful List Accent 2"/>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4">
    <w:name w:val="Colorful List Accent 3"/>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5">
    <w:name w:val="Colorful List Accent 4"/>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6">
    <w:name w:val="Colorful List Accent 5"/>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7">
    <w:name w:val="Colorful List Accent 6"/>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8">
    <w:name w:val="Colorful Grid"/>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29">
    <w:name w:val="Colorful Grid Accent 1"/>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0">
    <w:name w:val="Colorful Grid Accent 2"/>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1">
    <w:name w:val="Colorful Grid Accent 3"/>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2">
    <w:name w:val="Colorful Grid Accent 4"/>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3">
    <w:name w:val="Colorful Grid Accent 5"/>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4">
    <w:name w:val="Colorful Grid Accent 6"/>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5">
    <w:name w:val="Header Char"/>
    <w:basedOn w:val="32"/>
    <w:link w:val="25"/>
    <w:uiPriority w:val="99"/>
  </w:style>
  <w:style w:type="character" w:customStyle="1" w:styleId="136">
    <w:name w:val="Footer Char"/>
    <w:basedOn w:val="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32"/>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32"/>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32"/>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32"/>
    <w:link w:val="19"/>
    <w:qFormat/>
    <w:uiPriority w:val="99"/>
  </w:style>
  <w:style w:type="character" w:customStyle="1" w:styleId="145">
    <w:name w:val="Body Text 2 Char"/>
    <w:basedOn w:val="32"/>
    <w:link w:val="28"/>
    <w:qFormat/>
    <w:uiPriority w:val="99"/>
  </w:style>
  <w:style w:type="character" w:customStyle="1" w:styleId="146">
    <w:name w:val="Body Text 3 Char"/>
    <w:basedOn w:val="32"/>
    <w:link w:val="17"/>
    <w:qFormat/>
    <w:uiPriority w:val="99"/>
    <w:rPr>
      <w:sz w:val="16"/>
      <w:szCs w:val="16"/>
    </w:rPr>
  </w:style>
  <w:style w:type="character" w:customStyle="1" w:styleId="147">
    <w:name w:val="Macro Text Char"/>
    <w:basedOn w:val="32"/>
    <w:link w:val="13"/>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32"/>
    <w:link w:val="148"/>
    <w:qFormat/>
    <w:uiPriority w:val="29"/>
    <w:rPr>
      <w:i/>
      <w:iCs/>
      <w:color w:val="000000" w:themeColor="text1"/>
      <w14:textFill>
        <w14:solidFill>
          <w14:schemeClr w14:val="tx1"/>
        </w14:solidFill>
      </w14:textFill>
    </w:rPr>
  </w:style>
  <w:style w:type="character" w:customStyle="1" w:styleId="150">
    <w:name w:val="Heading 4 Char"/>
    <w:basedOn w:val="32"/>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32"/>
    <w:link w:val="6"/>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32"/>
    <w:link w:val="7"/>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32"/>
    <w:link w:val="8"/>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32"/>
    <w:link w:val="9"/>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32"/>
    <w:link w:val="10"/>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32"/>
    <w:link w:val="156"/>
    <w:qFormat/>
    <w:uiPriority w:val="30"/>
    <w:rPr>
      <w:b/>
      <w:bCs/>
      <w:i/>
      <w:iCs/>
      <w:color w:val="4F81BD" w:themeColor="accent1"/>
      <w14:textFill>
        <w14:solidFill>
          <w14:schemeClr w14:val="accent1"/>
        </w14:solidFill>
      </w14:textFill>
    </w:rPr>
  </w:style>
  <w:style w:type="character" w:customStyle="1" w:styleId="158">
    <w:name w:val="Subtle Emphasis"/>
    <w:basedOn w:val="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32"/>
    <w:qFormat/>
    <w:uiPriority w:val="21"/>
    <w:rPr>
      <w:b/>
      <w:bCs/>
      <w:i/>
      <w:iCs/>
      <w:color w:val="4F81BD" w:themeColor="accent1"/>
      <w14:textFill>
        <w14:solidFill>
          <w14:schemeClr w14:val="accent1"/>
        </w14:solidFill>
      </w14:textFill>
    </w:rPr>
  </w:style>
  <w:style w:type="character" w:customStyle="1" w:styleId="160">
    <w:name w:val="Subtle Reference"/>
    <w:basedOn w:val="32"/>
    <w:qFormat/>
    <w:uiPriority w:val="31"/>
    <w:rPr>
      <w:smallCaps/>
      <w:color w:val="C0504D" w:themeColor="accent2"/>
      <w:u w:val="single"/>
      <w14:textFill>
        <w14:solidFill>
          <w14:schemeClr w14:val="accent2"/>
        </w14:solidFill>
      </w14:textFill>
    </w:rPr>
  </w:style>
  <w:style w:type="character" w:customStyle="1" w:styleId="161">
    <w:name w:val="Intense Reference"/>
    <w:basedOn w:val="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32"/>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2026-09-03T02:54:16Z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